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21" w:rsidRDefault="00831B40" w:rsidP="00291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INCLUSA, Inc.</w:t>
      </w:r>
      <w:bookmarkStart w:id="0" w:name="_GoBack"/>
      <w:bookmarkEnd w:id="0"/>
    </w:p>
    <w:p w:rsidR="00660646" w:rsidRDefault="00660646" w:rsidP="00291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60646" w:rsidRPr="00291121" w:rsidRDefault="00660646" w:rsidP="00291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4"/>
      </w:tblGrid>
      <w:tr w:rsidR="00291121" w:rsidRPr="00291121">
        <w:trPr>
          <w:trHeight w:val="126"/>
        </w:trPr>
        <w:tc>
          <w:tcPr>
            <w:tcW w:w="9194" w:type="dxa"/>
          </w:tcPr>
          <w:p w:rsidR="00291121" w:rsidRDefault="00291121" w:rsidP="0066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291121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  <w:highlight w:val="yellow"/>
              </w:rPr>
              <w:t>RESIDENTIAL BILL CODE TYPE UPDATE</w:t>
            </w:r>
          </w:p>
          <w:p w:rsidR="00660646" w:rsidRPr="00291121" w:rsidRDefault="00660646" w:rsidP="0066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291121" w:rsidRPr="00291121">
        <w:trPr>
          <w:trHeight w:val="99"/>
        </w:trPr>
        <w:tc>
          <w:tcPr>
            <w:tcW w:w="9194" w:type="dxa"/>
          </w:tcPr>
          <w:p w:rsidR="00291121" w:rsidRPr="00291121" w:rsidRDefault="009015AC" w:rsidP="0099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5AC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***</w:t>
            </w:r>
            <w:r w:rsidR="00291121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WPS requires the use of the bill type for all residential claims referenced in </w:t>
            </w:r>
            <w:r w:rsidR="00660646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</w:t>
            </w:r>
            <w:r w:rsidR="00660646" w:rsidRPr="00660646">
              <w:rPr>
                <w:rFonts w:ascii="Calibri" w:hAnsi="Calibri" w:cs="Calibri"/>
                <w:color w:val="000000"/>
                <w:sz w:val="20"/>
                <w:szCs w:val="20"/>
              </w:rPr>
              <w:t>cha</w:t>
            </w:r>
            <w:r w:rsidR="00291121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rt</w:t>
            </w:r>
            <w:r w:rsidR="009921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below</w:t>
            </w:r>
            <w:r w:rsidR="00291121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6606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If the bill type is not included on the claim, the claim will be denied.</w:t>
            </w:r>
          </w:p>
        </w:tc>
      </w:tr>
      <w:tr w:rsidR="00291121" w:rsidRPr="00291121">
        <w:trPr>
          <w:trHeight w:val="99"/>
        </w:trPr>
        <w:tc>
          <w:tcPr>
            <w:tcW w:w="9194" w:type="dxa"/>
          </w:tcPr>
          <w:p w:rsidR="00291121" w:rsidRPr="00291121" w:rsidRDefault="00291121" w:rsidP="00291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1121" w:rsidRPr="00291121">
        <w:trPr>
          <w:trHeight w:val="99"/>
        </w:trPr>
        <w:tc>
          <w:tcPr>
            <w:tcW w:w="9194" w:type="dxa"/>
          </w:tcPr>
          <w:p w:rsidR="00291121" w:rsidRDefault="00291121" w:rsidP="00291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Please contact the Member Authorization Department at 715-204-1738 with any questions.</w:t>
            </w:r>
          </w:p>
          <w:p w:rsidR="00660646" w:rsidRDefault="00660646" w:rsidP="00291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0"/>
            </w:tblGrid>
            <w:tr w:rsidR="00660646" w:rsidRPr="00660646" w:rsidTr="00660646">
              <w:trPr>
                <w:trHeight w:val="99"/>
              </w:trPr>
              <w:tc>
                <w:tcPr>
                  <w:tcW w:w="5310" w:type="dxa"/>
                </w:tcPr>
                <w:p w:rsidR="00660646" w:rsidRPr="00660646" w:rsidRDefault="00660646" w:rsidP="006606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660646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u w:val="single"/>
                    </w:rPr>
                    <w:t>Type of Bill Codes; Fourth digit options for type of bill 086</w:t>
                  </w:r>
                  <w:r w:rsidRPr="00660646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highlight w:val="yellow"/>
                    </w:rPr>
                    <w:t>X</w:t>
                  </w:r>
                  <w:r w:rsidRPr="00660646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660646" w:rsidRPr="00660646" w:rsidTr="00660646">
              <w:trPr>
                <w:trHeight w:val="99"/>
              </w:trPr>
              <w:tc>
                <w:tcPr>
                  <w:tcW w:w="5310" w:type="dxa"/>
                </w:tcPr>
                <w:p w:rsidR="00660646" w:rsidRPr="00660646" w:rsidRDefault="00660646" w:rsidP="006606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0646" w:rsidRPr="00660646" w:rsidTr="00660646">
              <w:trPr>
                <w:trHeight w:val="99"/>
              </w:trPr>
              <w:tc>
                <w:tcPr>
                  <w:tcW w:w="5310" w:type="dxa"/>
                </w:tcPr>
                <w:p w:rsidR="00660646" w:rsidRPr="00660646" w:rsidRDefault="00660646" w:rsidP="006606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064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1 - Inpatient admit through discharge claim. </w:t>
                  </w:r>
                </w:p>
              </w:tc>
            </w:tr>
            <w:tr w:rsidR="00660646" w:rsidRPr="00660646" w:rsidTr="00660646">
              <w:trPr>
                <w:trHeight w:val="99"/>
              </w:trPr>
              <w:tc>
                <w:tcPr>
                  <w:tcW w:w="5310" w:type="dxa"/>
                </w:tcPr>
                <w:p w:rsidR="00660646" w:rsidRPr="00660646" w:rsidRDefault="00660646" w:rsidP="006606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064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2 - Interim bill — (first claim) </w:t>
                  </w:r>
                </w:p>
              </w:tc>
            </w:tr>
            <w:tr w:rsidR="00660646" w:rsidRPr="00660646" w:rsidTr="00660646">
              <w:trPr>
                <w:trHeight w:val="99"/>
              </w:trPr>
              <w:tc>
                <w:tcPr>
                  <w:tcW w:w="5310" w:type="dxa"/>
                </w:tcPr>
                <w:p w:rsidR="00660646" w:rsidRPr="00660646" w:rsidRDefault="00660646" w:rsidP="006606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064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3 - Interim bill — (continuing claim) </w:t>
                  </w:r>
                </w:p>
              </w:tc>
            </w:tr>
            <w:tr w:rsidR="00660646" w:rsidRPr="00660646" w:rsidTr="00660646">
              <w:trPr>
                <w:trHeight w:val="99"/>
              </w:trPr>
              <w:tc>
                <w:tcPr>
                  <w:tcW w:w="5310" w:type="dxa"/>
                </w:tcPr>
                <w:p w:rsidR="00660646" w:rsidRPr="00660646" w:rsidRDefault="00660646" w:rsidP="006606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064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4 - Interim bill — (final claim) </w:t>
                  </w:r>
                </w:p>
              </w:tc>
            </w:tr>
          </w:tbl>
          <w:p w:rsidR="00660646" w:rsidRPr="00291121" w:rsidRDefault="00660646" w:rsidP="002911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91121" w:rsidRPr="00291121" w:rsidRDefault="00291121" w:rsidP="00660646">
      <w:pPr>
        <w:pStyle w:val="NoSpacing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3701"/>
        <w:gridCol w:w="3701"/>
      </w:tblGrid>
      <w:tr w:rsidR="00291121" w:rsidRPr="00291121">
        <w:trPr>
          <w:trHeight w:val="99"/>
        </w:trPr>
        <w:tc>
          <w:tcPr>
            <w:tcW w:w="3701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  <w:u w:val="single"/>
              </w:rPr>
            </w:pPr>
            <w:r w:rsidRPr="0029112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  <w:u w:val="single"/>
              </w:rPr>
              <w:t>Procedure Code</w:t>
            </w:r>
          </w:p>
        </w:tc>
        <w:tc>
          <w:tcPr>
            <w:tcW w:w="3701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  <w:u w:val="single"/>
              </w:rPr>
            </w:pPr>
            <w:r w:rsidRPr="0029112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  <w:u w:val="single"/>
              </w:rPr>
              <w:t>Procedure Description</w:t>
            </w:r>
          </w:p>
        </w:tc>
        <w:tc>
          <w:tcPr>
            <w:tcW w:w="3701" w:type="dxa"/>
          </w:tcPr>
          <w:p w:rsidR="00291121" w:rsidRPr="00291121" w:rsidRDefault="00660646" w:rsidP="00660646">
            <w:pPr>
              <w:pStyle w:val="NoSpacing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  <w:u w:val="single"/>
              </w:rPr>
            </w:pPr>
            <w:r w:rsidRPr="006606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</w:t>
            </w:r>
            <w:r w:rsidRPr="00660646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  </w:t>
            </w:r>
            <w:r w:rsidR="00291121" w:rsidRPr="0029112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  <w:u w:val="single"/>
              </w:rPr>
              <w:t>Type of Bill Code</w:t>
            </w:r>
          </w:p>
        </w:tc>
      </w:tr>
    </w:tbl>
    <w:p w:rsidR="00291121" w:rsidRPr="00291121" w:rsidRDefault="00291121" w:rsidP="00660646">
      <w:pPr>
        <w:pStyle w:val="NoSpacing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35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560"/>
        <w:gridCol w:w="270"/>
        <w:gridCol w:w="4170"/>
      </w:tblGrid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(room &amp; board only) - AFH Placement, 1-2 beds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(board only) - All settings, second person in room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(room &amp; board only) - AFH Placement, 3-4 beds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(room &amp; board only) - CBRF Placement, &lt;= 8 beds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0159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(room &amp; board only) - CBRF Placement, &gt;8 beds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0167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Independent Apartment / SHC (room &amp; board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AFH Bedhold / Leave of Absence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0182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RCAC Bedhold / Leave of Absence (room &amp; board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0189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CBRF Bedhold / Leave of Absence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0220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AFH Bedhold / Leave of Absence (residential care services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0221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RCAC Bedhold / Leave of Absence (residential care services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0229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 w:rsidR="00C139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139B4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CBRF Bedhold / Leave of Absence (residential care services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0240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(residential care services only)</w:t>
            </w:r>
            <w:r w:rsidR="00C219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199F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AFH Placement, 1-2 beds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0241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(residential care services only)</w:t>
            </w:r>
            <w:r w:rsidR="00C219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199F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AFH Placement, 3-4 beds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0242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(residential care services only)</w:t>
            </w:r>
            <w:r w:rsidR="00C219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199F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CBRF Placement, &lt;= 8 beds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0243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 (residential care services only)</w:t>
            </w:r>
            <w:r w:rsidR="00C219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199F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CBRF Placement, &gt;8 beds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0249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 w:rsidR="00C219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199F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RCAC Permanent Placement (residential care services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0670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Residential Services</w:t>
            </w:r>
            <w:r w:rsidR="00C219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199F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RCAC Permanent Placement (residential care services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756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Supportive Home Care</w:t>
            </w:r>
            <w:r w:rsidR="00C219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199F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Independent Apartments (residential care services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  <w:tr w:rsidR="00291121" w:rsidRPr="00291121" w:rsidTr="00C2199F">
        <w:trPr>
          <w:trHeight w:val="99"/>
        </w:trPr>
        <w:tc>
          <w:tcPr>
            <w:tcW w:w="1548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0679</w:t>
            </w:r>
          </w:p>
        </w:tc>
        <w:tc>
          <w:tcPr>
            <w:tcW w:w="7560" w:type="dxa"/>
          </w:tcPr>
          <w:p w:rsid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Supportive Home Care</w:t>
            </w:r>
            <w:r w:rsidR="00C219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2199F"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- Independent Apartments (room &amp; board only)</w:t>
            </w: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:rsidR="00660646" w:rsidRPr="00291121" w:rsidRDefault="00660646" w:rsidP="00660646">
            <w:pPr>
              <w:pStyle w:val="NoSpacing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:rsidR="00291121" w:rsidRPr="00291121" w:rsidRDefault="00291121" w:rsidP="00660646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121">
              <w:rPr>
                <w:rFonts w:ascii="Calibri" w:hAnsi="Calibri" w:cs="Calibri"/>
                <w:color w:val="000000"/>
                <w:sz w:val="20"/>
                <w:szCs w:val="20"/>
              </w:rPr>
              <w:t>086x</w:t>
            </w:r>
          </w:p>
        </w:tc>
      </w:tr>
    </w:tbl>
    <w:p w:rsidR="00291121" w:rsidRDefault="00291121" w:rsidP="00660646">
      <w:pPr>
        <w:pStyle w:val="NoSpacing"/>
      </w:pPr>
    </w:p>
    <w:sectPr w:rsidR="00291121" w:rsidSect="004351A2">
      <w:pgSz w:w="12240" w:h="15840"/>
      <w:pgMar w:top="288" w:right="144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21"/>
    <w:rsid w:val="00045459"/>
    <w:rsid w:val="002600C4"/>
    <w:rsid w:val="00291121"/>
    <w:rsid w:val="004351A2"/>
    <w:rsid w:val="00660646"/>
    <w:rsid w:val="00831B40"/>
    <w:rsid w:val="009015AC"/>
    <w:rsid w:val="00932EDE"/>
    <w:rsid w:val="009921AD"/>
    <w:rsid w:val="00C139B4"/>
    <w:rsid w:val="00C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6621"/>
  <w15:chartTrackingRefBased/>
  <w15:docId w15:val="{76797901-31DE-4E23-8470-3AB0FB9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6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4C2B-351B-464B-B2C2-218D6650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Zblewski</dc:creator>
  <cp:keywords/>
  <dc:description/>
  <cp:lastModifiedBy>Julie Zblewski</cp:lastModifiedBy>
  <cp:revision>6</cp:revision>
  <dcterms:created xsi:type="dcterms:W3CDTF">2017-02-22T16:59:00Z</dcterms:created>
  <dcterms:modified xsi:type="dcterms:W3CDTF">2017-09-01T20:11:00Z</dcterms:modified>
</cp:coreProperties>
</file>